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06484" w:rsidRPr="00696D40" w:rsidRDefault="00E06484" w:rsidP="00E0648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X 900 x 900 x 25 mm_FR</w:t>
      </w:r>
    </w:p>
    <w:p w:rsidR="00E06484" w:rsidRPr="00EE52E3" w:rsidRDefault="00E06484" w:rsidP="00E06484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X 900 x 900 x 25 mm</w:t>
      </w:r>
    </w:p>
    <w:p w:rsidR="00E06484" w:rsidRPr="00696D40" w:rsidRDefault="00E06484" w:rsidP="00E0648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:rsidR="00E06484" w:rsidRPr="00696D40" w:rsidRDefault="00E06484" w:rsidP="00E064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E06484" w:rsidRPr="00696D40" w:rsidRDefault="00E06484" w:rsidP="00E064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06484" w:rsidRPr="00696D40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E06484" w:rsidRPr="00B50588" w:rsidRDefault="00E06484" w:rsidP="00E064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E06484" w:rsidRPr="00B50588" w:rsidRDefault="00E06484" w:rsidP="00E064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900 mm. Suspension à l'aide de suspentes rapides. Les entretoises de 900 mm sont placées  tous les 900 mm  perpendiculairement sur les profilés porteurs. La finition périphérique se fait avec une cornière à joints creux de 15 x 10 x 15 x 15 mm ou une cornière de rive-L avec un bloc de remplissage.  Les panneaux de découpes sont serrés dans le système avec un clip mural.</w:t>
      </w:r>
      <w:r w:rsidRPr="00696D40">
        <w:rPr>
          <w:rFonts w:cstheme="minorHAnsi"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</w:rPr>
        <w:t>Hauteur minimale de suspension: 150 mm.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</w:rPr>
      </w:pPr>
    </w:p>
    <w:p w:rsidR="00E06484" w:rsidRPr="00696D40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en-GB"/>
        </w:rPr>
        <w:t>Matériaux:</w:t>
      </w:r>
    </w:p>
    <w:p w:rsidR="00E06484" w:rsidRPr="00696D40" w:rsidRDefault="00E06484" w:rsidP="00E06484">
      <w:pPr>
        <w:spacing w:after="0" w:line="240" w:lineRule="auto"/>
        <w:rPr>
          <w:rFonts w:cstheme="minorHAnsi"/>
          <w:bCs/>
          <w:sz w:val="20"/>
          <w:szCs w:val="20"/>
          <w:lang w:val="en-GB"/>
        </w:rPr>
      </w:pPr>
      <w:r w:rsidRPr="00EE52E3">
        <w:rPr>
          <w:rFonts w:cstheme="minorHAnsi"/>
          <w:bCs/>
          <w:noProof/>
          <w:sz w:val="20"/>
          <w:szCs w:val="20"/>
          <w:lang w:val="en-GB"/>
        </w:rPr>
        <w:t>Dimensions modulaires:</w:t>
      </w:r>
      <w:r w:rsidRPr="00696D40">
        <w:rPr>
          <w:rFonts w:cstheme="minorHAnsi"/>
          <w:bCs/>
          <w:sz w:val="20"/>
          <w:szCs w:val="20"/>
          <w:lang w:val="en-GB"/>
        </w:rPr>
        <w:t xml:space="preserve">  </w:t>
      </w:r>
    </w:p>
    <w:p w:rsidR="00E06484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900 x 900 x 25 mm</w:t>
      </w:r>
    </w:p>
    <w:p w:rsidR="00E06484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</w:p>
    <w:p w:rsidR="00E06484" w:rsidRPr="00696D40" w:rsidRDefault="00E06484" w:rsidP="00E06484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Certification CE</w:t>
      </w:r>
    </w:p>
    <w:p w:rsidR="00E06484" w:rsidRPr="00EE52E3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E06484" w:rsidRPr="00EE52E3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 xml:space="preserve">- absorption acoustique : coefficient moyen d'absorption acoustique alpha-w </w:t>
      </w:r>
    </w:p>
    <w:p w:rsidR="00E06484" w:rsidRPr="00EE52E3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- réaction au feu: classification européenne relative au feu</w:t>
      </w:r>
    </w:p>
    <w:p w:rsidR="00E06484" w:rsidRPr="00EE52E3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- résistance à l'humidité et résistance à la déformation: mesure de résistance à la déformation pour les panneaux pour plafond sous conditions définies d'humidité et de température.</w:t>
      </w:r>
    </w:p>
    <w:p w:rsidR="00E06484" w:rsidRPr="00696D40" w:rsidRDefault="00E06484" w:rsidP="00E06484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E06484" w:rsidRPr="00696D40" w:rsidRDefault="00E06484" w:rsidP="00E06484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Résistance à l’humidité et résistance à la flexion</w:t>
      </w:r>
    </w:p>
    <w:p w:rsidR="00E06484" w:rsidRPr="00696D40" w:rsidRDefault="00E06484" w:rsidP="00E06484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Jusqu’à 100% HR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2/C/0N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E06484" w:rsidRPr="00696D40" w:rsidRDefault="00E06484" w:rsidP="00E06484">
      <w:pPr>
        <w:keepNext/>
        <w:spacing w:after="0" w:line="240" w:lineRule="auto"/>
        <w:rPr>
          <w:rFonts w:cstheme="minorHAnsi"/>
          <w:sz w:val="20"/>
          <w:szCs w:val="20"/>
          <w:lang w:val="en-GB"/>
        </w:rPr>
      </w:pPr>
      <w:r w:rsidRPr="00696D40">
        <w:rPr>
          <w:rFonts w:cstheme="minorHAnsi"/>
          <w:noProof/>
          <w:sz w:val="20"/>
          <w:szCs w:val="20"/>
          <w:lang w:val="en-GB"/>
        </w:rPr>
        <w:t>Absorption acoustique</w:t>
      </w:r>
    </w:p>
    <w:p w:rsidR="00E06484" w:rsidRPr="00EE52E3" w:rsidRDefault="00E06484" w:rsidP="00E064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E06484" w:rsidRPr="00EE52E3" w:rsidRDefault="00E06484" w:rsidP="00E064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E06484" w:rsidRPr="00C24907" w:rsidRDefault="00E06484" w:rsidP="00E0648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06484" w:rsidRPr="00050E55" w:rsidTr="009C0A9D">
        <w:trPr>
          <w:cantSplit/>
        </w:trPr>
        <w:tc>
          <w:tcPr>
            <w:tcW w:w="1413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E06484" w:rsidRPr="00050E55" w:rsidRDefault="00E064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06484" w:rsidRPr="00050E55" w:rsidTr="009C0A9D">
        <w:trPr>
          <w:cantSplit/>
        </w:trPr>
        <w:tc>
          <w:tcPr>
            <w:tcW w:w="1413" w:type="dxa"/>
          </w:tcPr>
          <w:p w:rsidR="00E06484" w:rsidRPr="004E40B9" w:rsidRDefault="00E0648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E06484" w:rsidRPr="009807CB" w:rsidRDefault="00E0648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06484" w:rsidRPr="00FB71F3" w:rsidRDefault="00E064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E06484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E06484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06484" w:rsidRPr="00144AAE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E06484" w:rsidRPr="007B34D5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E06484" w:rsidRPr="007B34D5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06484" w:rsidRPr="00EE52E3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E06484" w:rsidRPr="007B34D5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06484" w:rsidRPr="007B4712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E06484" w:rsidRPr="007B4712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E06484" w:rsidRPr="007B4712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06484" w:rsidRPr="0059723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06484" w:rsidRPr="00325C2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E06484" w:rsidRPr="00325C2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E06484" w:rsidRPr="00325C2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06484" w:rsidRPr="00EE52E3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06484" w:rsidRPr="00144AAE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06484" w:rsidRPr="00EE52E3" w:rsidRDefault="00E06484" w:rsidP="00E064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E06484" w:rsidRPr="00144AAE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E06484" w:rsidRPr="00144AAE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06484" w:rsidRPr="00144AAE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E06484" w:rsidRPr="00144AAE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06484" w:rsidRPr="00144AAE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E06484" w:rsidRPr="00144AAE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06484" w:rsidRPr="00144AAE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E06484" w:rsidRPr="00144AAE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06484" w:rsidRPr="00144AAE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E06484" w:rsidRPr="00144AAE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06484" w:rsidRDefault="00E06484" w:rsidP="00E064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E06484" w:rsidRPr="00144AAE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E06484" w:rsidRDefault="00E06484" w:rsidP="00E0648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06484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E0648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E0648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E06484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E0648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E0648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E0648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84"/>
    <w:rsid w:val="005C2D60"/>
    <w:rsid w:val="006A1F31"/>
    <w:rsid w:val="00E0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E05C0-3DE3-41A2-93E4-E1FF4A99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06484"/>
    <w:rPr>
      <w:color w:val="008080"/>
    </w:rPr>
  </w:style>
  <w:style w:type="character" w:customStyle="1" w:styleId="Referentie">
    <w:name w:val="Referentie"/>
    <w:rsid w:val="00E06484"/>
    <w:rPr>
      <w:color w:val="FF6600"/>
    </w:rPr>
  </w:style>
  <w:style w:type="character" w:customStyle="1" w:styleId="RevisieDatum">
    <w:name w:val="RevisieDatum"/>
    <w:rsid w:val="00E06484"/>
    <w:rPr>
      <w:vanish/>
      <w:color w:val="auto"/>
    </w:rPr>
  </w:style>
  <w:style w:type="table" w:styleId="Tabelraster">
    <w:name w:val="Table Grid"/>
    <w:basedOn w:val="Standaardtabel"/>
    <w:uiPriority w:val="59"/>
    <w:rsid w:val="00E06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06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06484"/>
  </w:style>
  <w:style w:type="paragraph" w:styleId="Voettekst">
    <w:name w:val="footer"/>
    <w:basedOn w:val="Standaard"/>
    <w:link w:val="VoettekstChar"/>
    <w:uiPriority w:val="99"/>
    <w:unhideWhenUsed/>
    <w:rsid w:val="00E06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06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