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0BEA" w14:textId="77777777" w:rsidR="00EF60C6" w:rsidRPr="00CD098C" w:rsidRDefault="00EF60C6" w:rsidP="00EF60C6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CD098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CD098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CD098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CD098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Block T24 A 600_1200 x 600 x 25 mm_FR</w:t>
      </w:r>
    </w:p>
    <w:p w14:paraId="744FCB6C" w14:textId="77777777" w:rsidR="00EF60C6" w:rsidRPr="00446EF5" w:rsidRDefault="00EF60C6" w:rsidP="00EF60C6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Block T24 A 600/1200 x 600 x 25 mm</w:t>
      </w:r>
    </w:p>
    <w:p w14:paraId="343BF003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7A736DA4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9422284" w14:textId="77777777" w:rsidR="00EF60C6" w:rsidRPr="00446EF5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3932F832" w14:textId="473C0E14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minérale.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ensachée dans un film étanche à l’air et à l’eau</w:t>
      </w:r>
      <w:r w:rsidR="0092019A">
        <w:rPr>
          <w:rFonts w:cstheme="minorHAnsi"/>
          <w:noProof/>
          <w:sz w:val="20"/>
          <w:szCs w:val="20"/>
          <w:lang w:val="fr-BE"/>
        </w:rPr>
        <w:t>,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Block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  </w:t>
      </w:r>
    </w:p>
    <w:p w14:paraId="7368729F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9024383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A, E ECR™ 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Hauteur minimale de suspension: 150 mm.</w:t>
      </w:r>
    </w:p>
    <w:p w14:paraId="36E4B4E8" w14:textId="77777777" w:rsidR="00EF60C6" w:rsidRPr="00446EF5" w:rsidRDefault="00EF60C6" w:rsidP="00EF60C6">
      <w:pPr>
        <w:spacing w:after="0" w:line="240" w:lineRule="auto"/>
        <w:rPr>
          <w:lang w:val="fr-BE"/>
        </w:rPr>
      </w:pPr>
    </w:p>
    <w:p w14:paraId="7EFD0A95" w14:textId="77777777" w:rsidR="00EF60C6" w:rsidRPr="00446EF5" w:rsidRDefault="00EF60C6" w:rsidP="00EF60C6">
      <w:pPr>
        <w:spacing w:after="0" w:line="240" w:lineRule="auto"/>
        <w:rPr>
          <w:sz w:val="20"/>
          <w:szCs w:val="20"/>
          <w:lang w:val="fr-BE"/>
        </w:rPr>
      </w:pPr>
    </w:p>
    <w:p w14:paraId="4C8C0252" w14:textId="77777777" w:rsidR="00EF60C6" w:rsidRPr="00446EF5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241D7EF" w14:textId="77777777" w:rsidR="00EF60C6" w:rsidRPr="00446EF5" w:rsidRDefault="00EF60C6" w:rsidP="00EF60C6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2305C4FE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25 mm</w:t>
      </w:r>
    </w:p>
    <w:p w14:paraId="2F62FD9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3A78857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4D261618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492A822A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7ED0713A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1D94B476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6CDBC60A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649702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A60988F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36C95A40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65981AD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74AC942" w14:textId="77777777" w:rsidR="00EF60C6" w:rsidRPr="009F7CA9" w:rsidRDefault="00EF60C6" w:rsidP="00EF60C6">
      <w:pPr>
        <w:spacing w:after="0" w:line="240" w:lineRule="auto"/>
        <w:rPr>
          <w:rFonts w:cstheme="minorHAnsi"/>
          <w:noProof/>
          <w:color w:val="000000" w:themeColor="text1"/>
          <w:sz w:val="20"/>
          <w:szCs w:val="20"/>
          <w:lang w:val="fr-BE"/>
        </w:rPr>
      </w:pP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Pression de l'air</w:t>
      </w:r>
    </w:p>
    <w:p w14:paraId="73D37946" w14:textId="77777777" w:rsidR="0057427D" w:rsidRPr="0057427D" w:rsidRDefault="00EF60C6" w:rsidP="0057427D">
      <w:pPr>
        <w:spacing w:after="0" w:line="240" w:lineRule="auto"/>
        <w:rPr>
          <w:rFonts w:cstheme="minorHAnsi"/>
          <w:noProof/>
          <w:color w:val="000000" w:themeColor="text1"/>
          <w:sz w:val="20"/>
          <w:szCs w:val="20"/>
          <w:lang w:val="fr-FR"/>
        </w:rPr>
      </w:pP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Convient aux zones </w:t>
      </w:r>
      <w:r w:rsidR="0092019A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en surpression où la différence de pression d’air est requise pour empêcher </w:t>
      </w: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la propagation des infections. Ensaché dans un film</w:t>
      </w:r>
      <w:r w:rsidR="0092019A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 Haute Performance associé aux clips anti-soulèvement HDC 2 (11,2/m² clips pour un panneau de 600 x 600 x 25 mm et 8,33 clips/m² pour un panneau de 1200 x 600 x 25 mm)</w:t>
      </w: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 permet d’apporter l’étanchéité nécessaire au maintien de la pression de l’air à un niveau donné : taux de fuite de l’air inférieur à 0,5 m³/h/m²/Pa sous une plage de pression de 5 à 40 Pa.</w:t>
      </w:r>
      <w:r w:rsidR="001B18C4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 </w:t>
      </w:r>
      <w:r w:rsidR="0057427D" w:rsidRPr="0057427D">
        <w:rPr>
          <w:rFonts w:cstheme="minorHAnsi"/>
          <w:noProof/>
          <w:color w:val="000000" w:themeColor="text1"/>
          <w:sz w:val="20"/>
          <w:szCs w:val="20"/>
          <w:lang w:val="fr-FR"/>
        </w:rPr>
        <w:t>Pour obtenir les valeurs d'étanchéité à l'air du Rockfon CleanSpace Block, toutes les ouvertures et toutes les dalles reliées aux profilés muraux doivent être scellées à l'aide d'un mastic étanche à l'air.</w:t>
      </w:r>
    </w:p>
    <w:p w14:paraId="2B1794F6" w14:textId="12E07974" w:rsidR="00EF60C6" w:rsidRPr="001B18C4" w:rsidRDefault="00EF60C6" w:rsidP="00EF60C6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fr-FR"/>
        </w:rPr>
      </w:pPr>
    </w:p>
    <w:p w14:paraId="03517048" w14:textId="4D346151" w:rsidR="0092019A" w:rsidRPr="00446EF5" w:rsidRDefault="0092019A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4EAAAE4" w14:textId="77777777" w:rsidR="00EF60C6" w:rsidRPr="00446EF5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9AA9597" w14:textId="77777777" w:rsidR="00EF60C6" w:rsidRPr="00446EF5" w:rsidRDefault="00EF60C6" w:rsidP="00EF60C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60399480" w14:textId="77777777" w:rsidR="00EF60C6" w:rsidRPr="00567DEB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1C02D9C1" w14:textId="77777777" w:rsidR="00EF60C6" w:rsidRPr="00567DEB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34688021" w14:textId="77777777" w:rsidR="00EF60C6" w:rsidRPr="00C24907" w:rsidRDefault="00EF60C6" w:rsidP="00EF60C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EF60C6" w:rsidRPr="00050E55" w14:paraId="748752D6" w14:textId="77777777" w:rsidTr="003B42B0">
        <w:trPr>
          <w:cantSplit/>
        </w:trPr>
        <w:tc>
          <w:tcPr>
            <w:tcW w:w="1413" w:type="dxa"/>
          </w:tcPr>
          <w:p w14:paraId="2808429D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5FF04598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FAAB9C7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3A5CDCC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AD50864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9AFB2C8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46A5CF4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7F7CBC40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F4EEB9E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1B1FCB7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6438DD1B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EF60C6" w:rsidRPr="00050E55" w14:paraId="02C76B32" w14:textId="77777777" w:rsidTr="003B42B0">
        <w:trPr>
          <w:cantSplit/>
        </w:trPr>
        <w:tc>
          <w:tcPr>
            <w:tcW w:w="1413" w:type="dxa"/>
          </w:tcPr>
          <w:p w14:paraId="0681C984" w14:textId="77777777" w:rsidR="00EF60C6" w:rsidRPr="004E40B9" w:rsidRDefault="00EF60C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3C1C847A" w14:textId="77777777" w:rsidR="00EF60C6" w:rsidRPr="00446EF5" w:rsidRDefault="00EF60C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2D1306A7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4DF2EF56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0,70</w:t>
            </w:r>
          </w:p>
        </w:tc>
        <w:tc>
          <w:tcPr>
            <w:tcW w:w="688" w:type="dxa"/>
          </w:tcPr>
          <w:p w14:paraId="7BD498B2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7" w:type="dxa"/>
          </w:tcPr>
          <w:p w14:paraId="25F2D86E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065BFDC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A7E5B34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2C7D8C2B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821" w:type="dxa"/>
          </w:tcPr>
          <w:p w14:paraId="677722E3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082536D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37681489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EE8AE87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F7C4AF5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E5471A5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B-s1, d0 suivant la EN 13501-1.</w:t>
      </w:r>
    </w:p>
    <w:p w14:paraId="18989C36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1AD9238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6ACF3693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74%</w:t>
      </w:r>
    </w:p>
    <w:p w14:paraId="2A6D8324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464CB88C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8509CBE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799DC40" w14:textId="77777777" w:rsidR="00EF60C6" w:rsidRPr="007B4712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4A331B6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2</w:t>
      </w:r>
    </w:p>
    <w:p w14:paraId="112B12D3" w14:textId="0627E530" w:rsidR="00A43BCB" w:rsidRPr="00D668B0" w:rsidRDefault="00D668B0" w:rsidP="00A43BCB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32AD2">
        <w:rPr>
          <w:rFonts w:cstheme="minorHAnsi"/>
          <w:noProof/>
          <w:sz w:val="20"/>
          <w:szCs w:val="20"/>
          <w:lang w:val="fr-FR"/>
        </w:rPr>
        <w:t>Les bords coupées doivent après la coupe être scellés avec la bande d’étanchéité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="00E978DA">
        <w:rPr>
          <w:rFonts w:cstheme="minorHAnsi"/>
          <w:noProof/>
          <w:sz w:val="20"/>
          <w:szCs w:val="20"/>
          <w:lang w:val="fr-BE"/>
        </w:rPr>
        <w:t>Alu.</w:t>
      </w:r>
    </w:p>
    <w:p w14:paraId="03B6B7E9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3BA203E" w14:textId="77777777" w:rsidR="00EF60C6" w:rsidRPr="0059723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6739FA5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pour faux plafonds se dépoussièrent à l’aspirateur équipé d’une brosse à poils doux ou se nettoient au moyen d’un chiffon humide.  </w:t>
      </w:r>
    </w:p>
    <w:p w14:paraId="7CC074D3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7E4EB477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2C6E3623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haute pression (1 fois par semaine)</w:t>
      </w:r>
    </w:p>
    <w:p w14:paraId="1B1FAEC4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298044B6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(selon ISO 2812-1/VDI 2083 part 17) pour désinfection journalière avec des solutions diluées de:– Formol (37%)– Ammoniaque (25%)– Peroxyde d’hydrogène (30%)– Acide sulfurique (5%)– Acide phosphorique (30%)– Acide peracétique (15%)– Acide hydrochlorique (5%)– Isopropanol (100%)– Hydroxyde de sodium (5%)– Hypochlorite de sodium (15%)</w:t>
      </w:r>
    </w:p>
    <w:p w14:paraId="2741CECE" w14:textId="15799E0B" w:rsidR="00B5152F" w:rsidRDefault="00B5152F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8D8B3BD" w14:textId="6E4D51A3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6C742749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d’hydrogène  pour une désinfection sans incidence sur le temps d'aération</w:t>
      </w:r>
    </w:p>
    <w:p w14:paraId="3F13FC41" w14:textId="44C25540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Résiste à la désinfection par UVC et l'</w:t>
      </w:r>
      <w:r w:rsidR="00B5152F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O</w:t>
      </w:r>
      <w:r w:rsidRPr="00567DEB">
        <w:rPr>
          <w:rFonts w:cstheme="minorHAnsi"/>
          <w:noProof/>
          <w:sz w:val="20"/>
          <w:szCs w:val="20"/>
          <w:lang w:val="fr-BE"/>
        </w:rPr>
        <w:t>zone</w:t>
      </w:r>
    </w:p>
    <w:p w14:paraId="7CC11044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59A0BEC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51C82317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film inerte et hydrofuge à haute performance du produit offre une durabilité accrue. Le film contient du DMAc (CAS 127-19-5) à une concentration ≥ 0.1w% et &lt; 1w% en poids.</w:t>
      </w:r>
    </w:p>
    <w:p w14:paraId="05F718B4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37B61B7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5F60AFC0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Staphylocoque doré résistant à la méthicilline (SARM) - Candida Albicans - Aspergillus Brasiliensis - E.Coli - Bacillus cereus</w:t>
      </w:r>
    </w:p>
    <w:p w14:paraId="1B4345C6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La classe cinétique de l’élimination des particules est conforme à CP(0,5)5 selon la norme NF S 90-351:2013</w:t>
      </w:r>
    </w:p>
    <w:p w14:paraId="7ED87B6B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03A471" w14:textId="77777777" w:rsidR="00EF60C6" w:rsidRDefault="00EF60C6" w:rsidP="00EF60C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C86488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C59B4F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1E400BE" w14:textId="77777777" w:rsidR="00EF60C6" w:rsidRDefault="00EF60C6" w:rsidP="00EF60C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2FD20BD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3DDB07A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4AC8238B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B08628F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0BBA0AB4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B394D84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605FAEA6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1BBED25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185924A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C49DF4C" w14:textId="77777777" w:rsidR="00EF60C6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69084C36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5ADFFF00" w14:textId="1B4FFF73" w:rsidR="006A1F31" w:rsidRDefault="00EF60C6" w:rsidP="009F7CA9">
      <w:pPr>
        <w:spacing w:after="0" w:line="240" w:lineRule="auto"/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7647" w14:textId="77777777" w:rsidR="005B0992" w:rsidRDefault="005B0992">
      <w:pPr>
        <w:spacing w:after="0" w:line="240" w:lineRule="auto"/>
      </w:pPr>
      <w:r>
        <w:separator/>
      </w:r>
    </w:p>
  </w:endnote>
  <w:endnote w:type="continuationSeparator" w:id="0">
    <w:p w14:paraId="50572566" w14:textId="77777777" w:rsidR="005B0992" w:rsidRDefault="005B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6762" w14:textId="2E5B9FE0" w:rsidR="0057427D" w:rsidRPr="007B4712" w:rsidRDefault="00EF60C6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7736EA">
      <w:rPr>
        <w:noProof/>
        <w:sz w:val="16"/>
        <w:szCs w:val="16"/>
      </w:rPr>
      <w:t>04</w:t>
    </w:r>
    <w:r>
      <w:rPr>
        <w:noProof/>
        <w:sz w:val="16"/>
        <w:szCs w:val="16"/>
      </w:rPr>
      <w:t>/0</w:t>
    </w:r>
    <w:r w:rsidR="007736EA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57427D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1B08" w14:textId="77777777" w:rsidR="005B0992" w:rsidRDefault="005B0992">
      <w:pPr>
        <w:spacing w:after="0" w:line="240" w:lineRule="auto"/>
      </w:pPr>
      <w:r>
        <w:separator/>
      </w:r>
    </w:p>
  </w:footnote>
  <w:footnote w:type="continuationSeparator" w:id="0">
    <w:p w14:paraId="67BD4694" w14:textId="77777777" w:rsidR="005B0992" w:rsidRDefault="005B0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6"/>
    <w:rsid w:val="00092519"/>
    <w:rsid w:val="001B18C4"/>
    <w:rsid w:val="0057427D"/>
    <w:rsid w:val="005B0992"/>
    <w:rsid w:val="005C2D60"/>
    <w:rsid w:val="006A1F31"/>
    <w:rsid w:val="007669DE"/>
    <w:rsid w:val="007736EA"/>
    <w:rsid w:val="0092019A"/>
    <w:rsid w:val="009F7CA9"/>
    <w:rsid w:val="00A43BCB"/>
    <w:rsid w:val="00B5152F"/>
    <w:rsid w:val="00D668B0"/>
    <w:rsid w:val="00E978DA"/>
    <w:rsid w:val="00EF60C6"/>
    <w:rsid w:val="00F35380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C8DF"/>
  <w15:chartTrackingRefBased/>
  <w15:docId w15:val="{570D68C0-A2A1-45F8-B0C0-6B35CCBB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EF60C6"/>
    <w:rPr>
      <w:color w:val="008080"/>
    </w:rPr>
  </w:style>
  <w:style w:type="character" w:customStyle="1" w:styleId="Referentie">
    <w:name w:val="Referentie"/>
    <w:rsid w:val="00EF60C6"/>
    <w:rPr>
      <w:color w:val="FF6600"/>
    </w:rPr>
  </w:style>
  <w:style w:type="character" w:customStyle="1" w:styleId="RevisieDatum">
    <w:name w:val="RevisieDatum"/>
    <w:rsid w:val="00EF60C6"/>
    <w:rPr>
      <w:vanish/>
      <w:color w:val="auto"/>
    </w:rPr>
  </w:style>
  <w:style w:type="table" w:styleId="Tabelraster">
    <w:name w:val="Table Grid"/>
    <w:basedOn w:val="Standaardtabel"/>
    <w:uiPriority w:val="59"/>
    <w:rsid w:val="00EF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F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60C6"/>
  </w:style>
  <w:style w:type="paragraph" w:styleId="Koptekst">
    <w:name w:val="header"/>
    <w:basedOn w:val="Standaard"/>
    <w:link w:val="KoptekstChar"/>
    <w:uiPriority w:val="99"/>
    <w:unhideWhenUsed/>
    <w:rsid w:val="0057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67B5D-AF19-4206-9001-25A847FEB42D}"/>
</file>

<file path=customXml/itemProps2.xml><?xml version="1.0" encoding="utf-8"?>
<ds:datastoreItem xmlns:ds="http://schemas.openxmlformats.org/officeDocument/2006/customXml" ds:itemID="{6121C9D0-812D-462C-A825-E6C3E6B5B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B18CE-BA6B-48DE-BAA5-092727BEC4D4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9</cp:revision>
  <dcterms:created xsi:type="dcterms:W3CDTF">2023-01-25T15:22:00Z</dcterms:created>
  <dcterms:modified xsi:type="dcterms:W3CDTF">2025-08-04T15:44:00Z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